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A7C17" w:rsidRDefault="007F6B8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Caricare le</w:t>
      </w:r>
      <w:r>
        <w:rPr>
          <w:color w:val="000000"/>
        </w:rPr>
        <w:t xml:space="preserve"> relazioni tecniche attestanti </w:t>
      </w:r>
      <w:r>
        <w:t>il risparmio idrico/energetico/riduzioni emissioni in atmosfera/miglioramento paesaggistico</w:t>
      </w:r>
      <w:r>
        <w:rPr>
          <w:color w:val="000000"/>
        </w:rPr>
        <w:t xml:space="preserve"> firmate da un tecnico qualificato, per </w:t>
      </w:r>
      <w:r>
        <w:t>gli specifici interventi del Piano Aziendale</w:t>
      </w:r>
      <w:r>
        <w:rPr>
          <w:color w:val="000000"/>
        </w:rPr>
        <w:t>.</w:t>
      </w:r>
    </w:p>
    <w:p w14:paraId="00000002" w14:textId="77777777" w:rsidR="006A7C17" w:rsidRDefault="006A7C17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769F64EB" w14:textId="6822CC60" w:rsidR="00FB3B62" w:rsidRPr="00FB3B62" w:rsidRDefault="007F6B89" w:rsidP="00FB3B62">
      <w:pPr>
        <w:pStyle w:val="TableParagraph"/>
        <w:tabs>
          <w:tab w:val="left" w:pos="285"/>
        </w:tabs>
        <w:spacing w:line="293" w:lineRule="exact"/>
        <w:rPr>
          <w:sz w:val="21"/>
        </w:rPr>
      </w:pPr>
      <w:r>
        <w:t>Caricare la documentazione attestante</w:t>
      </w:r>
      <w:r>
        <w:rPr>
          <w:b/>
        </w:rPr>
        <w:t xml:space="preserve"> </w:t>
      </w:r>
      <w:r>
        <w:t xml:space="preserve">i </w:t>
      </w:r>
      <w:r>
        <w:rPr>
          <w:b/>
          <w:sz w:val="24"/>
          <w:szCs w:val="24"/>
        </w:rPr>
        <w:t>costi</w:t>
      </w:r>
      <w:r>
        <w:rPr>
          <w:b/>
        </w:rPr>
        <w:t xml:space="preserve"> che andranno a contribuire al raggiungimento </w:t>
      </w:r>
      <w:r w:rsidR="00FB3B62">
        <w:rPr>
          <w:b/>
        </w:rPr>
        <w:t>degli obiettivi:</w:t>
      </w:r>
    </w:p>
    <w:p w14:paraId="252F3723" w14:textId="0BE54BF3" w:rsidR="00FB3B62" w:rsidRDefault="00FB3B62" w:rsidP="00FB3B62">
      <w:pPr>
        <w:pStyle w:val="TableParagraph"/>
        <w:numPr>
          <w:ilvl w:val="0"/>
          <w:numId w:val="1"/>
        </w:numPr>
        <w:tabs>
          <w:tab w:val="left" w:pos="285"/>
        </w:tabs>
        <w:spacing w:line="293" w:lineRule="exact"/>
        <w:ind w:left="284"/>
        <w:rPr>
          <w:sz w:val="21"/>
        </w:rPr>
      </w:pPr>
      <w:r>
        <w:rPr>
          <w:sz w:val="21"/>
        </w:rPr>
        <w:t>Risparmio idrico oltre a quello</w:t>
      </w:r>
      <w:r>
        <w:rPr>
          <w:spacing w:val="-2"/>
          <w:sz w:val="21"/>
        </w:rPr>
        <w:t xml:space="preserve"> </w:t>
      </w:r>
      <w:r>
        <w:rPr>
          <w:sz w:val="21"/>
        </w:rPr>
        <w:t>cogente;</w:t>
      </w:r>
    </w:p>
    <w:p w14:paraId="1F630CE3" w14:textId="77777777" w:rsidR="00FB3B62" w:rsidRDefault="00FB3B62" w:rsidP="00FB3B62">
      <w:pPr>
        <w:pStyle w:val="TableParagraph"/>
        <w:numPr>
          <w:ilvl w:val="0"/>
          <w:numId w:val="1"/>
        </w:numPr>
        <w:tabs>
          <w:tab w:val="left" w:pos="285"/>
        </w:tabs>
        <w:spacing w:line="293" w:lineRule="exact"/>
        <w:ind w:left="284"/>
        <w:rPr>
          <w:sz w:val="21"/>
        </w:rPr>
      </w:pPr>
      <w:r>
        <w:rPr>
          <w:sz w:val="21"/>
        </w:rPr>
        <w:t>Risparmio</w:t>
      </w:r>
      <w:r>
        <w:rPr>
          <w:spacing w:val="-1"/>
          <w:sz w:val="21"/>
        </w:rPr>
        <w:t xml:space="preserve"> </w:t>
      </w:r>
      <w:r>
        <w:rPr>
          <w:sz w:val="21"/>
        </w:rPr>
        <w:t>energetico;</w:t>
      </w:r>
    </w:p>
    <w:p w14:paraId="35F22BC5" w14:textId="1A075CB0" w:rsidR="00FB3B62" w:rsidRDefault="00FB3B62" w:rsidP="00FB3B62">
      <w:pPr>
        <w:pStyle w:val="TableParagraph"/>
        <w:numPr>
          <w:ilvl w:val="0"/>
          <w:numId w:val="1"/>
        </w:numPr>
        <w:tabs>
          <w:tab w:val="left" w:pos="285"/>
        </w:tabs>
        <w:spacing w:line="293" w:lineRule="exact"/>
        <w:ind w:left="284"/>
        <w:rPr>
          <w:sz w:val="21"/>
        </w:rPr>
      </w:pPr>
      <w:r>
        <w:rPr>
          <w:sz w:val="21"/>
        </w:rPr>
        <w:t>Risparmio riduzione emissioni in</w:t>
      </w:r>
      <w:r>
        <w:rPr>
          <w:spacing w:val="-3"/>
          <w:sz w:val="21"/>
        </w:rPr>
        <w:t xml:space="preserve"> </w:t>
      </w:r>
      <w:r>
        <w:rPr>
          <w:sz w:val="21"/>
        </w:rPr>
        <w:t>atmosfera;</w:t>
      </w:r>
    </w:p>
    <w:p w14:paraId="1E25D039" w14:textId="77777777" w:rsidR="00FB3B62" w:rsidRDefault="00FB3B62" w:rsidP="00FB3B62">
      <w:pPr>
        <w:pStyle w:val="TableParagraph"/>
        <w:numPr>
          <w:ilvl w:val="0"/>
          <w:numId w:val="1"/>
        </w:numPr>
        <w:tabs>
          <w:tab w:val="left" w:pos="285"/>
        </w:tabs>
        <w:spacing w:line="293" w:lineRule="exact"/>
        <w:ind w:left="284"/>
        <w:rPr>
          <w:sz w:val="21"/>
        </w:rPr>
      </w:pPr>
      <w:r w:rsidRPr="00FB3B62">
        <w:rPr>
          <w:sz w:val="21"/>
        </w:rPr>
        <w:t>Mimetizzazioni</w:t>
      </w:r>
      <w:r w:rsidRPr="00FB3B62">
        <w:rPr>
          <w:sz w:val="21"/>
        </w:rPr>
        <w:tab/>
        <w:t>e</w:t>
      </w:r>
      <w:r w:rsidRPr="00FB3B62">
        <w:rPr>
          <w:sz w:val="21"/>
        </w:rPr>
        <w:tab/>
        <w:t>investimenti</w:t>
      </w:r>
      <w:r w:rsidRPr="00FB3B62">
        <w:rPr>
          <w:sz w:val="21"/>
        </w:rPr>
        <w:tab/>
        <w:t>al</w:t>
      </w:r>
      <w:r w:rsidRPr="00FB3B62">
        <w:rPr>
          <w:sz w:val="21"/>
        </w:rPr>
        <w:tab/>
      </w:r>
      <w:r w:rsidRPr="00FB3B62">
        <w:rPr>
          <w:spacing w:val="-3"/>
          <w:sz w:val="21"/>
        </w:rPr>
        <w:t xml:space="preserve">miglioramento </w:t>
      </w:r>
      <w:r w:rsidRPr="00FB3B62">
        <w:rPr>
          <w:sz w:val="21"/>
        </w:rPr>
        <w:t>paesaggistico</w:t>
      </w:r>
    </w:p>
    <w:p w14:paraId="6202D2EE" w14:textId="77777777" w:rsidR="00FB3B62" w:rsidRDefault="00FB3B62" w:rsidP="00FB3B62">
      <w:pPr>
        <w:pStyle w:val="TableParagraph"/>
        <w:tabs>
          <w:tab w:val="left" w:pos="285"/>
        </w:tabs>
        <w:spacing w:line="293" w:lineRule="exact"/>
        <w:ind w:left="284"/>
        <w:rPr>
          <w:sz w:val="21"/>
        </w:rPr>
      </w:pPr>
    </w:p>
    <w:p w14:paraId="00000003" w14:textId="2BB1E09E" w:rsidR="006A7C17" w:rsidRPr="00FB3B62" w:rsidRDefault="007F6B89" w:rsidP="00FB3B62">
      <w:pPr>
        <w:pStyle w:val="TableParagraph"/>
        <w:tabs>
          <w:tab w:val="left" w:pos="285"/>
        </w:tabs>
        <w:spacing w:line="293" w:lineRule="exact"/>
        <w:ind w:left="284"/>
        <w:rPr>
          <w:sz w:val="21"/>
        </w:rPr>
      </w:pPr>
      <w:r w:rsidRPr="00FB3B62">
        <w:rPr>
          <w:b/>
        </w:rPr>
        <w:t xml:space="preserve"> come di seguito specificato:</w:t>
      </w:r>
    </w:p>
    <w:p w14:paraId="00000004" w14:textId="77777777" w:rsidR="006A7C17" w:rsidRDefault="006A7C17">
      <w:pPr>
        <w:widowControl w:val="0"/>
      </w:pPr>
    </w:p>
    <w:p w14:paraId="00000005" w14:textId="62ED8B38" w:rsidR="006A7C17" w:rsidRDefault="007F6B8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• per investimenti immobiliari: caricare l’estratto del computo metrico generale </w:t>
      </w:r>
      <w:r>
        <w:t xml:space="preserve">relativo ai suddetti </w:t>
      </w:r>
      <w:r>
        <w:rPr>
          <w:b/>
        </w:rPr>
        <w:t>costi</w:t>
      </w:r>
      <w:r>
        <w:t>;</w:t>
      </w:r>
    </w:p>
    <w:p w14:paraId="00000006" w14:textId="77777777" w:rsidR="006A7C17" w:rsidRDefault="007F6B8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• per investimenti mobiliari e mobiliari fissi per destinazione: </w:t>
      </w:r>
    </w:p>
    <w:p w14:paraId="00000007" w14:textId="77777777" w:rsidR="006A7C17" w:rsidRDefault="007F6B8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</w:t>
      </w:r>
    </w:p>
    <w:p w14:paraId="00000008" w14:textId="4E02C1E7" w:rsidR="006A7C17" w:rsidRDefault="007F6B89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b/>
        </w:rPr>
      </w:pPr>
      <w:r>
        <w:t>•</w:t>
      </w:r>
      <w:r>
        <w:rPr>
          <w:color w:val="000000"/>
        </w:rPr>
        <w:t xml:space="preserve"> caricare </w:t>
      </w:r>
      <w:r>
        <w:t xml:space="preserve">l’estratto del computo metrico generale relativo ai suddetti </w:t>
      </w:r>
      <w:r>
        <w:rPr>
          <w:b/>
        </w:rPr>
        <w:t>costi</w:t>
      </w:r>
    </w:p>
    <w:p w14:paraId="00000009" w14:textId="77777777" w:rsidR="006A7C17" w:rsidRDefault="006A7C17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</w:pPr>
    </w:p>
    <w:p w14:paraId="0000000A" w14:textId="77777777" w:rsidR="006A7C17" w:rsidRDefault="007F6B89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</w:pPr>
      <w:r>
        <w:t>e/o</w:t>
      </w:r>
    </w:p>
    <w:p w14:paraId="0000000B" w14:textId="77777777" w:rsidR="006A7C17" w:rsidRDefault="006A7C17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C" w14:textId="77777777" w:rsidR="006A7C17" w:rsidRDefault="007F6B89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t xml:space="preserve">• </w:t>
      </w:r>
      <w:r>
        <w:rPr>
          <w:color w:val="000000"/>
        </w:rPr>
        <w:t>caricare listino prezzi del fornitore per i suddetti</w:t>
      </w:r>
      <w:r>
        <w:rPr>
          <w:b/>
          <w:color w:val="000000"/>
        </w:rPr>
        <w:t xml:space="preserve"> costi</w:t>
      </w:r>
      <w:r>
        <w:rPr>
          <w:color w:val="000000"/>
        </w:rPr>
        <w:t>;</w:t>
      </w:r>
    </w:p>
    <w:p w14:paraId="0000000D" w14:textId="77777777" w:rsidR="006A7C17" w:rsidRDefault="006A7C17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</w:pPr>
    </w:p>
    <w:p w14:paraId="0000000E" w14:textId="77777777" w:rsidR="006A7C17" w:rsidRDefault="007F6B89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</w:pPr>
      <w:r>
        <w:t>e/o</w:t>
      </w:r>
    </w:p>
    <w:p w14:paraId="0000000F" w14:textId="77777777" w:rsidR="006A7C17" w:rsidRDefault="006A7C17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10" w14:textId="77777777" w:rsidR="006A7C17" w:rsidRDefault="007F6B89">
      <w:pPr>
        <w:widowControl w:val="0"/>
        <w:pBdr>
          <w:top w:val="nil"/>
          <w:left w:val="nil"/>
          <w:bottom w:val="nil"/>
          <w:right w:val="nil"/>
          <w:between w:val="nil"/>
        </w:pBdr>
        <w:ind w:left="708"/>
        <w:rPr>
          <w:b/>
        </w:rPr>
      </w:pPr>
      <w:r>
        <w:t xml:space="preserve">• </w:t>
      </w:r>
      <w:r>
        <w:rPr>
          <w:color w:val="000000"/>
        </w:rPr>
        <w:t>caricare 3 preventivi da fornitori indipendenti</w:t>
      </w:r>
      <w:r>
        <w:t xml:space="preserve"> o documentazione equipollente per i           suddetti </w:t>
      </w:r>
      <w:r>
        <w:rPr>
          <w:b/>
        </w:rPr>
        <w:t>costi.</w:t>
      </w:r>
    </w:p>
    <w:p w14:paraId="00000011" w14:textId="77777777" w:rsidR="006A7C17" w:rsidRDefault="006A7C17">
      <w:pPr>
        <w:widowControl w:val="0"/>
      </w:pPr>
    </w:p>
    <w:p w14:paraId="00000012" w14:textId="77777777" w:rsidR="006A7C17" w:rsidRDefault="006A7C17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</w:pPr>
    </w:p>
    <w:p w14:paraId="00000013" w14:textId="77777777" w:rsidR="006A7C17" w:rsidRDefault="007F6B8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Denominazione File: EC52642</w:t>
      </w:r>
      <w:r>
        <w:t>_</w:t>
      </w:r>
      <w:r>
        <w:rPr>
          <w:color w:val="000000"/>
        </w:rPr>
        <w:t>Ambiente e clima.</w:t>
      </w:r>
    </w:p>
    <w:p w14:paraId="00000014" w14:textId="77777777" w:rsidR="006A7C17" w:rsidRDefault="006A7C1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6A7C17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FC0BBB"/>
    <w:multiLevelType w:val="hybridMultilevel"/>
    <w:tmpl w:val="7B32AA9C"/>
    <w:lvl w:ilvl="0" w:tplc="CAE0804C">
      <w:numFmt w:val="bullet"/>
      <w:lvlText w:val=""/>
      <w:lvlJc w:val="left"/>
      <w:pPr>
        <w:ind w:left="109" w:hanging="176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8CA4D8CE">
      <w:numFmt w:val="bullet"/>
      <w:lvlText w:val="•"/>
      <w:lvlJc w:val="left"/>
      <w:pPr>
        <w:ind w:left="656" w:hanging="176"/>
      </w:pPr>
      <w:rPr>
        <w:rFonts w:hint="default"/>
        <w:lang w:val="it-IT" w:eastAsia="it-IT" w:bidi="it-IT"/>
      </w:rPr>
    </w:lvl>
    <w:lvl w:ilvl="2" w:tplc="E0FCB476">
      <w:numFmt w:val="bullet"/>
      <w:lvlText w:val="•"/>
      <w:lvlJc w:val="left"/>
      <w:pPr>
        <w:ind w:left="1212" w:hanging="176"/>
      </w:pPr>
      <w:rPr>
        <w:rFonts w:hint="default"/>
        <w:lang w:val="it-IT" w:eastAsia="it-IT" w:bidi="it-IT"/>
      </w:rPr>
    </w:lvl>
    <w:lvl w:ilvl="3" w:tplc="874E50A8">
      <w:numFmt w:val="bullet"/>
      <w:lvlText w:val="•"/>
      <w:lvlJc w:val="left"/>
      <w:pPr>
        <w:ind w:left="1768" w:hanging="176"/>
      </w:pPr>
      <w:rPr>
        <w:rFonts w:hint="default"/>
        <w:lang w:val="it-IT" w:eastAsia="it-IT" w:bidi="it-IT"/>
      </w:rPr>
    </w:lvl>
    <w:lvl w:ilvl="4" w:tplc="D35864B8">
      <w:numFmt w:val="bullet"/>
      <w:lvlText w:val="•"/>
      <w:lvlJc w:val="left"/>
      <w:pPr>
        <w:ind w:left="2325" w:hanging="176"/>
      </w:pPr>
      <w:rPr>
        <w:rFonts w:hint="default"/>
        <w:lang w:val="it-IT" w:eastAsia="it-IT" w:bidi="it-IT"/>
      </w:rPr>
    </w:lvl>
    <w:lvl w:ilvl="5" w:tplc="7D8283BE">
      <w:numFmt w:val="bullet"/>
      <w:lvlText w:val="•"/>
      <w:lvlJc w:val="left"/>
      <w:pPr>
        <w:ind w:left="2881" w:hanging="176"/>
      </w:pPr>
      <w:rPr>
        <w:rFonts w:hint="default"/>
        <w:lang w:val="it-IT" w:eastAsia="it-IT" w:bidi="it-IT"/>
      </w:rPr>
    </w:lvl>
    <w:lvl w:ilvl="6" w:tplc="8E3037FE">
      <w:numFmt w:val="bullet"/>
      <w:lvlText w:val="•"/>
      <w:lvlJc w:val="left"/>
      <w:pPr>
        <w:ind w:left="3437" w:hanging="176"/>
      </w:pPr>
      <w:rPr>
        <w:rFonts w:hint="default"/>
        <w:lang w:val="it-IT" w:eastAsia="it-IT" w:bidi="it-IT"/>
      </w:rPr>
    </w:lvl>
    <w:lvl w:ilvl="7" w:tplc="65341490">
      <w:numFmt w:val="bullet"/>
      <w:lvlText w:val="•"/>
      <w:lvlJc w:val="left"/>
      <w:pPr>
        <w:ind w:left="3994" w:hanging="176"/>
      </w:pPr>
      <w:rPr>
        <w:rFonts w:hint="default"/>
        <w:lang w:val="it-IT" w:eastAsia="it-IT" w:bidi="it-IT"/>
      </w:rPr>
    </w:lvl>
    <w:lvl w:ilvl="8" w:tplc="334EBC12">
      <w:numFmt w:val="bullet"/>
      <w:lvlText w:val="•"/>
      <w:lvlJc w:val="left"/>
      <w:pPr>
        <w:ind w:left="4550" w:hanging="176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C17"/>
    <w:rsid w:val="006A7C17"/>
    <w:rsid w:val="007F6B89"/>
    <w:rsid w:val="00FB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11314"/>
  <w15:docId w15:val="{0240046A-C4E5-416F-8220-03323D7E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ableParagraph">
    <w:name w:val="Table Paragraph"/>
    <w:basedOn w:val="Normale"/>
    <w:uiPriority w:val="1"/>
    <w:qFormat/>
    <w:rsid w:val="00FB3B62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3</cp:revision>
  <dcterms:created xsi:type="dcterms:W3CDTF">2025-04-04T10:45:00Z</dcterms:created>
  <dcterms:modified xsi:type="dcterms:W3CDTF">2025-04-04T12:05:00Z</dcterms:modified>
</cp:coreProperties>
</file>